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CE2B7" w14:textId="32FDE916" w:rsidR="00211015" w:rsidRDefault="007F4EB7" w:rsidP="007F4EB7">
      <w:pPr>
        <w:pBdr>
          <w:bottom w:val="single" w:sz="6" w:space="1" w:color="auto"/>
        </w:pBdr>
        <w:jc w:val="center"/>
      </w:pPr>
      <w:r>
        <w:rPr>
          <w:noProof/>
        </w:rPr>
        <w:drawing>
          <wp:inline distT="0" distB="0" distL="0" distR="0" wp14:anchorId="52F1B72E" wp14:editId="7BD845E2">
            <wp:extent cx="2426335" cy="633730"/>
            <wp:effectExtent l="0" t="0" r="0" b="0"/>
            <wp:docPr id="2011624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63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9D3C4D" w14:textId="77777777" w:rsidR="007F4EB7" w:rsidRPr="009311CA" w:rsidRDefault="007F4EB7">
      <w:pPr>
        <w:pBdr>
          <w:bottom w:val="single" w:sz="6" w:space="1" w:color="auto"/>
        </w:pBdr>
        <w:rPr>
          <w:sz w:val="18"/>
          <w:szCs w:val="22"/>
        </w:rPr>
      </w:pPr>
    </w:p>
    <w:p w14:paraId="6B0101E2" w14:textId="1675F669" w:rsidR="007F4EB7" w:rsidRPr="009311CA" w:rsidRDefault="007F4EB7" w:rsidP="007F4EB7">
      <w:r w:rsidRPr="009311CA">
        <w:rPr>
          <w:b/>
          <w:bCs/>
        </w:rPr>
        <w:t>To:</w:t>
      </w:r>
      <w:r w:rsidRPr="009311CA">
        <w:t xml:space="preserve"> WAP </w:t>
      </w:r>
      <w:r w:rsidR="00227D72" w:rsidRPr="009311CA">
        <w:t>Subrecipients</w:t>
      </w:r>
      <w:r w:rsidRPr="009311CA">
        <w:tab/>
      </w:r>
      <w:r w:rsidRPr="009311CA">
        <w:tab/>
      </w:r>
      <w:r w:rsidRPr="009311CA">
        <w:tab/>
      </w:r>
      <w:r w:rsidRPr="009311CA">
        <w:tab/>
      </w:r>
      <w:r w:rsidR="009311CA">
        <w:tab/>
      </w:r>
      <w:r w:rsidR="009311CA">
        <w:tab/>
        <w:t xml:space="preserve">       </w:t>
      </w:r>
      <w:r w:rsidRPr="009311CA">
        <w:rPr>
          <w:b/>
          <w:bCs/>
        </w:rPr>
        <w:t>Program Guidance:</w:t>
      </w:r>
      <w:r w:rsidRPr="009311CA">
        <w:t xml:space="preserve"> WAP-2025-</w:t>
      </w:r>
      <w:r w:rsidR="00066493">
        <w:t>02</w:t>
      </w:r>
    </w:p>
    <w:p w14:paraId="20B23CA8" w14:textId="77777777" w:rsidR="007F4EB7" w:rsidRPr="009311CA" w:rsidRDefault="007F4EB7" w:rsidP="007F4EB7">
      <w:r w:rsidRPr="009311CA">
        <w:rPr>
          <w:b/>
          <w:bCs/>
        </w:rPr>
        <w:t>From:</w:t>
      </w:r>
      <w:r w:rsidRPr="009311CA">
        <w:t xml:space="preserve"> Community Programs</w:t>
      </w:r>
    </w:p>
    <w:p w14:paraId="70CDAEC1" w14:textId="4A88CD8C" w:rsidR="007F4EB7" w:rsidRPr="009311CA" w:rsidRDefault="007F4EB7" w:rsidP="007F4EB7">
      <w:r w:rsidRPr="009311CA">
        <w:rPr>
          <w:b/>
          <w:bCs/>
        </w:rPr>
        <w:t>Release Date:</w:t>
      </w:r>
      <w:r w:rsidRPr="009311CA">
        <w:t xml:space="preserve"> </w:t>
      </w:r>
      <w:r w:rsidR="00773255">
        <w:t xml:space="preserve">October </w:t>
      </w:r>
      <w:r w:rsidR="00C6562E">
        <w:t>26</w:t>
      </w:r>
      <w:r w:rsidRPr="009311CA">
        <w:t>, 202</w:t>
      </w:r>
      <w:r w:rsidR="00227D72" w:rsidRPr="009311CA">
        <w:t>6</w:t>
      </w:r>
    </w:p>
    <w:p w14:paraId="1DB60505" w14:textId="6655740D" w:rsidR="007F4EB7" w:rsidRPr="009311CA" w:rsidRDefault="007F4EB7" w:rsidP="007F4EB7">
      <w:r w:rsidRPr="009311CA">
        <w:rPr>
          <w:b/>
          <w:bCs/>
        </w:rPr>
        <w:t>Effective Date:</w:t>
      </w:r>
      <w:r w:rsidRPr="009311CA">
        <w:t xml:space="preserve"> </w:t>
      </w:r>
      <w:r w:rsidR="00066493">
        <w:t xml:space="preserve">July </w:t>
      </w:r>
      <w:r w:rsidR="006444E1" w:rsidRPr="009311CA">
        <w:t>1</w:t>
      </w:r>
      <w:r w:rsidRPr="009311CA">
        <w:t>, 202</w:t>
      </w:r>
      <w:r w:rsidR="00066493">
        <w:t>6</w:t>
      </w:r>
    </w:p>
    <w:p w14:paraId="0872180D" w14:textId="7DEE6C40" w:rsidR="007F4EB7" w:rsidRPr="009311CA" w:rsidRDefault="007F4EB7" w:rsidP="007F4EB7">
      <w:pPr>
        <w:pBdr>
          <w:bottom w:val="single" w:sz="6" w:space="1" w:color="auto"/>
        </w:pBdr>
      </w:pPr>
      <w:r w:rsidRPr="009311CA">
        <w:rPr>
          <w:b/>
          <w:bCs/>
        </w:rPr>
        <w:t>Subject:</w:t>
      </w:r>
      <w:r w:rsidRPr="009311CA">
        <w:t xml:space="preserve"> </w:t>
      </w:r>
      <w:r w:rsidR="00066493">
        <w:t xml:space="preserve">ACPU for </w:t>
      </w:r>
      <w:r w:rsidR="007802C6">
        <w:t xml:space="preserve">WX-025 &amp; </w:t>
      </w:r>
      <w:r w:rsidR="00066493">
        <w:t>WX-026 Awards</w:t>
      </w:r>
    </w:p>
    <w:p w14:paraId="1EB29BD0" w14:textId="77777777" w:rsidR="007F4EB7" w:rsidRDefault="007F4EB7" w:rsidP="007F4EB7"/>
    <w:p w14:paraId="1AE13365" w14:textId="69719634" w:rsidR="009311CA" w:rsidRPr="009311CA" w:rsidRDefault="009311CA" w:rsidP="007F4EB7">
      <w:pPr>
        <w:rPr>
          <w:b/>
          <w:bCs/>
        </w:rPr>
      </w:pPr>
      <w:r w:rsidRPr="009311CA">
        <w:rPr>
          <w:b/>
          <w:bCs/>
        </w:rPr>
        <w:t>BACKGROUND</w:t>
      </w:r>
    </w:p>
    <w:p w14:paraId="1F90A363" w14:textId="648B4E22" w:rsidR="00AD3B6A" w:rsidRDefault="00E51FE9" w:rsidP="00AD3B6A">
      <w:r>
        <w:t xml:space="preserve">DOE released the Application Instructions for the 2026 Program Year Grant </w:t>
      </w:r>
      <w:r w:rsidR="002D6A1A">
        <w:t>on</w:t>
      </w:r>
      <w:r>
        <w:t xml:space="preserve"> July 9, 2026</w:t>
      </w:r>
      <w:r w:rsidR="002D6A1A">
        <w:t xml:space="preserve"> with an effective date of July 1, 2026</w:t>
      </w:r>
      <w:r>
        <w:t>. Within the document included a provision raising the Average Cost Per Unit (ACPU). IHCDA has elected to raise the statewide ACPU, applying strictly to the WX-026 Award.</w:t>
      </w:r>
    </w:p>
    <w:p w14:paraId="13030D9C" w14:textId="77777777" w:rsidR="00E51FE9" w:rsidRDefault="00E51FE9" w:rsidP="00AD3B6A"/>
    <w:p w14:paraId="11AB53FC" w14:textId="4F41553A" w:rsidR="006A5C43" w:rsidRDefault="006A5C43" w:rsidP="006A5C43">
      <w:r>
        <w:t>WX-025 has a Performance Period of April 1, 2025 to September 30, 2026. WX-026 has a Performance Period of July 1, 2026 to June 30, 2027. The Awards remain distinct and Federal notices, memoranda, and guidance for WX-026 do not apply to WX-025.</w:t>
      </w:r>
    </w:p>
    <w:p w14:paraId="461118BC" w14:textId="77777777" w:rsidR="006A5C43" w:rsidRDefault="006A5C43" w:rsidP="006A5C43"/>
    <w:p w14:paraId="34630E1F" w14:textId="27552BFC" w:rsidR="00E51FE9" w:rsidRDefault="00066493" w:rsidP="00AD3B6A">
      <w:r>
        <w:t>IHCDA publishe</w:t>
      </w:r>
      <w:r w:rsidR="002D6A1A">
        <w:t>d</w:t>
      </w:r>
      <w:r>
        <w:t xml:space="preserve"> its updated Policy &amp; Procedure Manual on the first day of the standard WAP Program year, July 1</w:t>
      </w:r>
      <w:r w:rsidR="002D6A1A">
        <w:t>, 2026</w:t>
      </w:r>
      <w:r>
        <w:t>.</w:t>
      </w:r>
      <w:r w:rsidR="002D6A1A">
        <w:t xml:space="preserve"> Because of the overlap of Performance Periods, </w:t>
      </w:r>
      <w:r w:rsidR="00E51FE9">
        <w:t>IHCDA is releasing Guidance to set and define the applicability of the raised ACPU.</w:t>
      </w:r>
    </w:p>
    <w:p w14:paraId="10136FC3" w14:textId="77777777" w:rsidR="00E51FE9" w:rsidRPr="009311CA" w:rsidRDefault="00E51FE9" w:rsidP="00AD3B6A"/>
    <w:p w14:paraId="0C8E3499" w14:textId="77777777" w:rsidR="007F4EB7" w:rsidRPr="009311CA" w:rsidRDefault="007F4EB7" w:rsidP="007F4EB7">
      <w:pPr>
        <w:rPr>
          <w:b/>
          <w:bCs/>
        </w:rPr>
      </w:pPr>
      <w:r w:rsidRPr="009311CA">
        <w:rPr>
          <w:b/>
          <w:bCs/>
        </w:rPr>
        <w:t>NEW GUIDANCE</w:t>
      </w:r>
    </w:p>
    <w:p w14:paraId="3A57EB35" w14:textId="71166C14" w:rsidR="007F4EB7" w:rsidRPr="007802C6" w:rsidRDefault="00E51FE9" w:rsidP="00E51FE9">
      <w:pPr>
        <w:rPr>
          <w:i/>
          <w:iCs/>
        </w:rPr>
      </w:pPr>
      <w:r w:rsidRPr="007802C6">
        <w:rPr>
          <w:i/>
          <w:iCs/>
        </w:rPr>
        <w:t xml:space="preserve">The </w:t>
      </w:r>
      <w:r w:rsidR="00D67570" w:rsidRPr="007802C6">
        <w:rPr>
          <w:i/>
          <w:iCs/>
        </w:rPr>
        <w:t>“</w:t>
      </w:r>
      <w:r w:rsidRPr="007802C6">
        <w:rPr>
          <w:i/>
          <w:iCs/>
        </w:rPr>
        <w:t xml:space="preserve">Formula </w:t>
      </w:r>
      <w:r w:rsidR="00D67570" w:rsidRPr="007802C6">
        <w:rPr>
          <w:i/>
          <w:iCs/>
        </w:rPr>
        <w:t>DOE Funding</w:t>
      </w:r>
      <w:r w:rsidRPr="007802C6">
        <w:rPr>
          <w:i/>
          <w:iCs/>
        </w:rPr>
        <w:t xml:space="preserve"> – Base Operations</w:t>
      </w:r>
      <w:r w:rsidR="00D67570" w:rsidRPr="007802C6">
        <w:rPr>
          <w:i/>
          <w:iCs/>
        </w:rPr>
        <w:t xml:space="preserve">” Part of the </w:t>
      </w:r>
      <w:r w:rsidR="007802C6">
        <w:rPr>
          <w:i/>
          <w:iCs/>
        </w:rPr>
        <w:t>WAP</w:t>
      </w:r>
      <w:r w:rsidR="00D67570" w:rsidRPr="007802C6">
        <w:rPr>
          <w:i/>
          <w:iCs/>
        </w:rPr>
        <w:t xml:space="preserve"> Policy &amp; Procedure Manual Section</w:t>
      </w:r>
      <w:r w:rsidR="0031024B" w:rsidRPr="007802C6">
        <w:rPr>
          <w:i/>
          <w:iCs/>
        </w:rPr>
        <w:t xml:space="preserve"> 6.2</w:t>
      </w:r>
      <w:r w:rsidR="00D67570" w:rsidRPr="007802C6">
        <w:rPr>
          <w:i/>
          <w:iCs/>
        </w:rPr>
        <w:t xml:space="preserve"> </w:t>
      </w:r>
      <w:r w:rsidRPr="007802C6">
        <w:rPr>
          <w:i/>
          <w:iCs/>
        </w:rPr>
        <w:t xml:space="preserve">is </w:t>
      </w:r>
      <w:r w:rsidR="006A5C43" w:rsidRPr="007802C6">
        <w:rPr>
          <w:i/>
          <w:iCs/>
        </w:rPr>
        <w:t>revised to incorporate</w:t>
      </w:r>
      <w:r w:rsidRPr="007802C6">
        <w:rPr>
          <w:i/>
          <w:iCs/>
        </w:rPr>
        <w:t xml:space="preserve"> the</w:t>
      </w:r>
      <w:r w:rsidR="00D67570" w:rsidRPr="007802C6">
        <w:rPr>
          <w:i/>
          <w:iCs/>
        </w:rPr>
        <w:t xml:space="preserve"> </w:t>
      </w:r>
      <w:r w:rsidR="0031024B" w:rsidRPr="007802C6">
        <w:rPr>
          <w:i/>
          <w:iCs/>
        </w:rPr>
        <w:t>below</w:t>
      </w:r>
      <w:r w:rsidR="00D67570" w:rsidRPr="007802C6">
        <w:rPr>
          <w:i/>
          <w:iCs/>
        </w:rPr>
        <w:t xml:space="preserve"> language</w:t>
      </w:r>
      <w:r w:rsidRPr="007802C6">
        <w:rPr>
          <w:i/>
          <w:iCs/>
        </w:rPr>
        <w:t>:</w:t>
      </w:r>
    </w:p>
    <w:p w14:paraId="59EB7DD2" w14:textId="77777777" w:rsidR="006A5C43" w:rsidRDefault="006A5C43" w:rsidP="00E51FE9"/>
    <w:p w14:paraId="628EADE5" w14:textId="22F61E4C" w:rsidR="00E51FE9" w:rsidRDefault="00DE0C2C" w:rsidP="00E51FE9">
      <w:r>
        <w:t>The following are the maximum allowable ACPUs for each Formula DOE Award:</w:t>
      </w:r>
    </w:p>
    <w:p w14:paraId="0F775348" w14:textId="166FF758" w:rsidR="00DE0C2C" w:rsidRDefault="006A5C43" w:rsidP="00DE0C2C">
      <w:pPr>
        <w:pStyle w:val="ListParagraph"/>
        <w:numPr>
          <w:ilvl w:val="0"/>
          <w:numId w:val="10"/>
        </w:numPr>
      </w:pPr>
      <w:r>
        <w:t>WX-025: $8</w:t>
      </w:r>
      <w:r w:rsidR="00E15DBF">
        <w:t>,</w:t>
      </w:r>
      <w:r>
        <w:t>450</w:t>
      </w:r>
    </w:p>
    <w:p w14:paraId="2240FEDD" w14:textId="60709CB8" w:rsidR="007F4EB7" w:rsidRPr="006A5C43" w:rsidRDefault="006A5C43" w:rsidP="006A5C43">
      <w:pPr>
        <w:pStyle w:val="ListParagraph"/>
        <w:numPr>
          <w:ilvl w:val="0"/>
          <w:numId w:val="10"/>
        </w:numPr>
      </w:pPr>
      <w:r>
        <w:t>WX-026: $8</w:t>
      </w:r>
      <w:r w:rsidR="00E15DBF">
        <w:t>,</w:t>
      </w:r>
      <w:r>
        <w:t>750</w:t>
      </w:r>
    </w:p>
    <w:sectPr w:rsidR="007F4EB7" w:rsidRPr="006A5C4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5532" w14:textId="77777777" w:rsidR="006E363F" w:rsidRDefault="006E363F" w:rsidP="007F4EB7">
      <w:r>
        <w:separator/>
      </w:r>
    </w:p>
  </w:endnote>
  <w:endnote w:type="continuationSeparator" w:id="0">
    <w:p w14:paraId="69FD127B" w14:textId="77777777" w:rsidR="006E363F" w:rsidRDefault="006E363F" w:rsidP="007F4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2D446" w14:textId="38BFEFA2" w:rsidR="00C34934" w:rsidRPr="00C34934" w:rsidRDefault="00C34934" w:rsidP="00C34934">
    <w:pPr>
      <w:widowControl w:val="0"/>
      <w:autoSpaceDE w:val="0"/>
      <w:autoSpaceDN w:val="0"/>
      <w:spacing w:before="99"/>
      <w:ind w:left="2880" w:right="39"/>
      <w:jc w:val="center"/>
      <w:rPr>
        <w:rFonts w:ascii="Arial Narrow" w:eastAsia="Arial" w:cs="Arial"/>
        <w:b/>
        <w:color w:val="A1AC00"/>
        <w:kern w:val="0"/>
        <w:szCs w:val="22"/>
      </w:rPr>
    </w:pPr>
    <w:r w:rsidRPr="00C34934">
      <w:rPr>
        <w:rFonts w:eastAsia="Arial" w:cs="Arial"/>
        <w:noProof/>
        <w:kern w:val="0"/>
        <w:sz w:val="22"/>
        <w:szCs w:val="22"/>
      </w:rPr>
      <w:drawing>
        <wp:anchor distT="0" distB="0" distL="0" distR="0" simplePos="0" relativeHeight="251660288" behindDoc="0" locked="0" layoutInCell="1" allowOverlap="1" wp14:anchorId="740EBF68" wp14:editId="3A2F2418">
          <wp:simplePos x="0" y="0"/>
          <wp:positionH relativeFrom="page">
            <wp:posOffset>1343660</wp:posOffset>
          </wp:positionH>
          <wp:positionV relativeFrom="paragraph">
            <wp:posOffset>215265</wp:posOffset>
          </wp:positionV>
          <wp:extent cx="276225" cy="298450"/>
          <wp:effectExtent l="0" t="0" r="0" b="0"/>
          <wp:wrapNone/>
          <wp:docPr id="1706753810" name="image2.jpeg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A picture containing text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6225" cy="298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34934">
      <w:rPr>
        <w:rFonts w:eastAsia="Arial" w:cs="Arial"/>
        <w:noProof/>
        <w:kern w:val="0"/>
        <w:sz w:val="22"/>
        <w:szCs w:val="22"/>
      </w:rPr>
      <w:drawing>
        <wp:anchor distT="0" distB="0" distL="0" distR="0" simplePos="0" relativeHeight="251661312" behindDoc="0" locked="0" layoutInCell="1" allowOverlap="1" wp14:anchorId="7492259F" wp14:editId="321378A0">
          <wp:simplePos x="0" y="0"/>
          <wp:positionH relativeFrom="page">
            <wp:posOffset>2047875</wp:posOffset>
          </wp:positionH>
          <wp:positionV relativeFrom="paragraph">
            <wp:posOffset>215900</wp:posOffset>
          </wp:positionV>
          <wp:extent cx="276225" cy="287020"/>
          <wp:effectExtent l="0" t="0" r="0" b="0"/>
          <wp:wrapNone/>
          <wp:docPr id="538562919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6225" cy="287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34934">
      <w:rPr>
        <w:rFonts w:eastAsia="Arial" w:cs="Arial"/>
        <w:noProof/>
        <w:kern w:val="0"/>
        <w:sz w:val="22"/>
        <w:szCs w:val="22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E7C7649" wp14:editId="6FF86AE2">
              <wp:simplePos x="0" y="0"/>
              <wp:positionH relativeFrom="margin">
                <wp:align>right</wp:align>
              </wp:positionH>
              <wp:positionV relativeFrom="page">
                <wp:posOffset>8734425</wp:posOffset>
              </wp:positionV>
              <wp:extent cx="5905500" cy="9525"/>
              <wp:effectExtent l="19050" t="19050" r="19050" b="28575"/>
              <wp:wrapNone/>
              <wp:docPr id="566652074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05500" cy="9525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A4C501"/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9B52D0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page;mso-width-percent:0;mso-height-percent:0;mso-width-relative:page;mso-height-relative:page" from="413.8pt,687.75pt" to="878.8pt,6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" strokecolor="#a4c501" strokeweight="2.5pt">
              <w10:wrap anchorx="margin" anchory="page"/>
            </v:line>
          </w:pict>
        </mc:Fallback>
      </mc:AlternateContent>
    </w:r>
    <w:r w:rsidRPr="00C34934">
      <w:rPr>
        <w:rFonts w:ascii="Arial Narrow" w:eastAsia="Arial" w:cs="Arial"/>
        <w:b/>
        <w:color w:val="A1AC00"/>
        <w:kern w:val="0"/>
        <w:szCs w:val="22"/>
      </w:rPr>
      <w:t>ADDRESS</w:t>
    </w:r>
    <w:r w:rsidRPr="00C34934">
      <w:rPr>
        <w:rFonts w:ascii="Arial Narrow" w:eastAsia="Arial" w:cs="Arial"/>
        <w:b/>
        <w:color w:val="A1AC00"/>
        <w:spacing w:val="-7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kern w:val="0"/>
        <w:szCs w:val="22"/>
      </w:rPr>
      <w:t>30</w:t>
    </w:r>
    <w:r w:rsidRPr="00C34934">
      <w:rPr>
        <w:rFonts w:ascii="Arial Narrow" w:eastAsia="Arial" w:cs="Arial"/>
        <w:color w:val="003358"/>
        <w:spacing w:val="-5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kern w:val="0"/>
        <w:szCs w:val="22"/>
      </w:rPr>
      <w:t>South</w:t>
    </w:r>
    <w:r w:rsidRPr="00C34934">
      <w:rPr>
        <w:rFonts w:ascii="Arial Narrow" w:eastAsia="Arial" w:cs="Arial"/>
        <w:color w:val="003358"/>
        <w:spacing w:val="-7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kern w:val="0"/>
        <w:szCs w:val="22"/>
      </w:rPr>
      <w:t>Meridian</w:t>
    </w:r>
    <w:r w:rsidRPr="00C34934">
      <w:rPr>
        <w:rFonts w:ascii="Arial Narrow" w:eastAsia="Arial" w:cs="Arial"/>
        <w:color w:val="003358"/>
        <w:spacing w:val="-7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kern w:val="0"/>
        <w:szCs w:val="22"/>
      </w:rPr>
      <w:t>Street,</w:t>
    </w:r>
    <w:r w:rsidRPr="00C34934">
      <w:rPr>
        <w:rFonts w:ascii="Arial Narrow" w:eastAsia="Arial" w:cs="Arial"/>
        <w:color w:val="003358"/>
        <w:spacing w:val="-7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kern w:val="0"/>
        <w:szCs w:val="22"/>
      </w:rPr>
      <w:t>Suite</w:t>
    </w:r>
    <w:r w:rsidRPr="00C34934">
      <w:rPr>
        <w:rFonts w:ascii="Arial Narrow" w:eastAsia="Arial" w:cs="Arial"/>
        <w:color w:val="003358"/>
        <w:spacing w:val="-8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kern w:val="0"/>
        <w:szCs w:val="22"/>
      </w:rPr>
      <w:t>900,</w:t>
    </w:r>
    <w:r w:rsidRPr="00C34934">
      <w:rPr>
        <w:rFonts w:ascii="Arial Narrow" w:eastAsia="Arial" w:cs="Arial"/>
        <w:color w:val="003358"/>
        <w:spacing w:val="-7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kern w:val="0"/>
        <w:szCs w:val="22"/>
      </w:rPr>
      <w:t>Indianapolis,</w:t>
    </w:r>
    <w:r w:rsidRPr="00C34934">
      <w:rPr>
        <w:rFonts w:ascii="Arial Narrow" w:eastAsia="Arial" w:cs="Arial"/>
        <w:color w:val="003358"/>
        <w:spacing w:val="-8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kern w:val="0"/>
        <w:szCs w:val="22"/>
      </w:rPr>
      <w:t>IN</w:t>
    </w:r>
    <w:r w:rsidRPr="00C34934">
      <w:rPr>
        <w:rFonts w:ascii="Arial Narrow" w:eastAsia="Arial" w:cs="Arial"/>
        <w:color w:val="003358"/>
        <w:spacing w:val="-8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spacing w:val="-2"/>
        <w:kern w:val="0"/>
        <w:szCs w:val="22"/>
      </w:rPr>
      <w:t>46204</w:t>
    </w:r>
  </w:p>
  <w:p w14:paraId="6AA63AE6" w14:textId="0439CED2" w:rsidR="00C34934" w:rsidRPr="00C34934" w:rsidRDefault="00C34934" w:rsidP="00C34934">
    <w:pPr>
      <w:widowControl w:val="0"/>
      <w:autoSpaceDE w:val="0"/>
      <w:autoSpaceDN w:val="0"/>
      <w:spacing w:before="1" w:line="360" w:lineRule="auto"/>
      <w:ind w:left="2880" w:right="43"/>
      <w:jc w:val="center"/>
      <w:rPr>
        <w:rFonts w:ascii="Arial Narrow" w:eastAsia="Arial" w:cs="Arial"/>
        <w:color w:val="1F487C"/>
        <w:kern w:val="0"/>
        <w:szCs w:val="22"/>
      </w:rPr>
    </w:pPr>
    <w:r w:rsidRPr="00C34934">
      <w:rPr>
        <w:rFonts w:ascii="Arial Narrow" w:eastAsia="Arial" w:cs="Arial"/>
        <w:b/>
        <w:color w:val="A1AC00"/>
        <w:kern w:val="0"/>
        <w:szCs w:val="22"/>
      </w:rPr>
      <w:t>PHONE</w:t>
    </w:r>
    <w:r w:rsidRPr="00C34934">
      <w:rPr>
        <w:rFonts w:ascii="Arial Narrow" w:eastAsia="Arial" w:cs="Arial"/>
        <w:b/>
        <w:color w:val="A1AC00"/>
        <w:spacing w:val="-5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kern w:val="0"/>
        <w:szCs w:val="22"/>
      </w:rPr>
      <w:t>317</w:t>
    </w:r>
    <w:r w:rsidRPr="00C34934">
      <w:rPr>
        <w:rFonts w:ascii="Arial Narrow" w:eastAsia="Arial" w:cs="Arial"/>
        <w:color w:val="003358"/>
        <w:spacing w:val="-4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kern w:val="0"/>
        <w:szCs w:val="22"/>
      </w:rPr>
      <w:t>232</w:t>
    </w:r>
    <w:r w:rsidRPr="00C34934">
      <w:rPr>
        <w:rFonts w:ascii="Arial Narrow" w:eastAsia="Arial" w:cs="Arial"/>
        <w:color w:val="003358"/>
        <w:spacing w:val="-4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kern w:val="0"/>
        <w:szCs w:val="22"/>
      </w:rPr>
      <w:t>7777</w:t>
    </w:r>
    <w:r w:rsidRPr="00C34934">
      <w:rPr>
        <w:rFonts w:ascii="Arial Narrow" w:eastAsia="Arial" w:cs="Arial"/>
        <w:color w:val="003358"/>
        <w:spacing w:val="-4"/>
        <w:kern w:val="0"/>
        <w:szCs w:val="22"/>
      </w:rPr>
      <w:t xml:space="preserve"> </w:t>
    </w:r>
    <w:r w:rsidRPr="00C34934">
      <w:rPr>
        <w:rFonts w:ascii="Arial Narrow" w:eastAsia="Arial" w:cs="Arial"/>
        <w:b/>
        <w:color w:val="A1AC00"/>
        <w:kern w:val="0"/>
        <w:szCs w:val="22"/>
      </w:rPr>
      <w:t>TOLL</w:t>
    </w:r>
    <w:r w:rsidRPr="00C34934">
      <w:rPr>
        <w:rFonts w:ascii="Arial Narrow" w:eastAsia="Arial" w:cs="Arial"/>
        <w:b/>
        <w:color w:val="A1AC00"/>
        <w:spacing w:val="-4"/>
        <w:kern w:val="0"/>
        <w:szCs w:val="22"/>
      </w:rPr>
      <w:t xml:space="preserve"> </w:t>
    </w:r>
    <w:r w:rsidRPr="00C34934">
      <w:rPr>
        <w:rFonts w:ascii="Arial Narrow" w:eastAsia="Arial" w:cs="Arial"/>
        <w:b/>
        <w:color w:val="A1AC00"/>
        <w:kern w:val="0"/>
        <w:szCs w:val="22"/>
      </w:rPr>
      <w:t>FREE</w:t>
    </w:r>
    <w:r w:rsidRPr="00C34934">
      <w:rPr>
        <w:rFonts w:ascii="Arial Narrow" w:eastAsia="Arial" w:cs="Arial"/>
        <w:b/>
        <w:color w:val="A1AC00"/>
        <w:spacing w:val="-4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kern w:val="0"/>
        <w:szCs w:val="22"/>
      </w:rPr>
      <w:t>800</w:t>
    </w:r>
    <w:r w:rsidRPr="00C34934">
      <w:rPr>
        <w:rFonts w:ascii="Arial Narrow" w:eastAsia="Arial" w:cs="Arial"/>
        <w:color w:val="003358"/>
        <w:spacing w:val="-4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kern w:val="0"/>
        <w:szCs w:val="22"/>
      </w:rPr>
      <w:t>872</w:t>
    </w:r>
    <w:r w:rsidRPr="00C34934">
      <w:rPr>
        <w:rFonts w:ascii="Arial Narrow" w:eastAsia="Arial" w:cs="Arial"/>
        <w:color w:val="003358"/>
        <w:spacing w:val="-4"/>
        <w:kern w:val="0"/>
        <w:szCs w:val="22"/>
      </w:rPr>
      <w:t xml:space="preserve"> </w:t>
    </w:r>
    <w:r w:rsidRPr="00C34934">
      <w:rPr>
        <w:rFonts w:ascii="Arial Narrow" w:eastAsia="Arial" w:cs="Arial"/>
        <w:color w:val="003358"/>
        <w:kern w:val="0"/>
        <w:szCs w:val="22"/>
      </w:rPr>
      <w:t>0371</w:t>
    </w:r>
    <w:r w:rsidRPr="00C34934">
      <w:rPr>
        <w:rFonts w:ascii="Arial Narrow" w:eastAsia="Arial" w:cs="Arial"/>
        <w:color w:val="003358"/>
        <w:spacing w:val="-2"/>
        <w:kern w:val="0"/>
        <w:szCs w:val="22"/>
      </w:rPr>
      <w:t xml:space="preserve"> </w:t>
    </w:r>
    <w:r w:rsidRPr="00C34934">
      <w:rPr>
        <w:rFonts w:ascii="Arial Narrow" w:eastAsia="Arial" w:cs="Arial"/>
        <w:b/>
        <w:color w:val="A1AC00"/>
        <w:kern w:val="0"/>
        <w:szCs w:val="22"/>
      </w:rPr>
      <w:t>WEB</w:t>
    </w:r>
    <w:r w:rsidRPr="00C34934">
      <w:rPr>
        <w:rFonts w:ascii="Arial Narrow" w:eastAsia="Arial" w:cs="Arial"/>
        <w:b/>
        <w:color w:val="A1AC00"/>
        <w:spacing w:val="-5"/>
        <w:kern w:val="0"/>
        <w:szCs w:val="22"/>
      </w:rPr>
      <w:t xml:space="preserve"> </w:t>
    </w:r>
    <w:hyperlink r:id="rId3">
      <w:r w:rsidRPr="00C34934">
        <w:rPr>
          <w:rFonts w:ascii="Arial Narrow" w:eastAsia="Arial" w:cs="Arial"/>
          <w:color w:val="1F487C"/>
          <w:kern w:val="0"/>
          <w:szCs w:val="22"/>
        </w:rPr>
        <w:t>www.ihcda.IN.gov</w:t>
      </w:r>
    </w:hyperlink>
  </w:p>
  <w:p w14:paraId="062E6F9C" w14:textId="1AAE6D84" w:rsidR="00C34934" w:rsidRPr="00C34934" w:rsidRDefault="00C34934" w:rsidP="00C34934">
    <w:pPr>
      <w:widowControl w:val="0"/>
      <w:autoSpaceDE w:val="0"/>
      <w:autoSpaceDN w:val="0"/>
      <w:spacing w:before="1" w:line="484" w:lineRule="auto"/>
      <w:ind w:left="2880" w:right="39"/>
      <w:jc w:val="center"/>
      <w:rPr>
        <w:rFonts w:ascii="Arial Narrow" w:eastAsia="Arial" w:cs="Arial"/>
        <w:color w:val="001F5F"/>
        <w:kern w:val="0"/>
        <w:szCs w:val="22"/>
      </w:rPr>
    </w:pPr>
    <w:r w:rsidRPr="00C34934">
      <w:rPr>
        <w:rFonts w:ascii="Arial Narrow" w:eastAsia="Arial" w:cs="Arial"/>
        <w:color w:val="001F5F"/>
        <w:kern w:val="0"/>
        <w:szCs w:val="22"/>
      </w:rPr>
      <w:t>EQUAL OPPORTUNITY EMPLOYER AND HOUSING AGENCY</w:t>
    </w:r>
  </w:p>
  <w:p w14:paraId="51FB4E26" w14:textId="39B6C34D" w:rsidR="00C34934" w:rsidRDefault="00C349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6257D" w14:textId="77777777" w:rsidR="006E363F" w:rsidRDefault="006E363F" w:rsidP="007F4EB7">
      <w:r>
        <w:separator/>
      </w:r>
    </w:p>
  </w:footnote>
  <w:footnote w:type="continuationSeparator" w:id="0">
    <w:p w14:paraId="34A43054" w14:textId="77777777" w:rsidR="006E363F" w:rsidRDefault="006E363F" w:rsidP="007F4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1727"/>
    <w:multiLevelType w:val="hybridMultilevel"/>
    <w:tmpl w:val="C5746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12103"/>
    <w:multiLevelType w:val="hybridMultilevel"/>
    <w:tmpl w:val="52342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E5289"/>
    <w:multiLevelType w:val="hybridMultilevel"/>
    <w:tmpl w:val="54F81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81FE2"/>
    <w:multiLevelType w:val="hybridMultilevel"/>
    <w:tmpl w:val="8E724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A0ABD"/>
    <w:multiLevelType w:val="hybridMultilevel"/>
    <w:tmpl w:val="2BDCF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F5708"/>
    <w:multiLevelType w:val="hybridMultilevel"/>
    <w:tmpl w:val="42A04D2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7847131"/>
    <w:multiLevelType w:val="hybridMultilevel"/>
    <w:tmpl w:val="5F5CB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C4949"/>
    <w:multiLevelType w:val="hybridMultilevel"/>
    <w:tmpl w:val="98603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36A1A"/>
    <w:multiLevelType w:val="hybridMultilevel"/>
    <w:tmpl w:val="766A5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1D5833"/>
    <w:multiLevelType w:val="hybridMultilevel"/>
    <w:tmpl w:val="EF204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348523">
    <w:abstractNumId w:val="4"/>
  </w:num>
  <w:num w:numId="2" w16cid:durableId="1298030028">
    <w:abstractNumId w:val="6"/>
  </w:num>
  <w:num w:numId="3" w16cid:durableId="1669551611">
    <w:abstractNumId w:val="7"/>
  </w:num>
  <w:num w:numId="4" w16cid:durableId="1076053383">
    <w:abstractNumId w:val="0"/>
  </w:num>
  <w:num w:numId="5" w16cid:durableId="309747593">
    <w:abstractNumId w:val="8"/>
  </w:num>
  <w:num w:numId="6" w16cid:durableId="1553425007">
    <w:abstractNumId w:val="2"/>
  </w:num>
  <w:num w:numId="7" w16cid:durableId="792485717">
    <w:abstractNumId w:val="3"/>
  </w:num>
  <w:num w:numId="8" w16cid:durableId="359624557">
    <w:abstractNumId w:val="9"/>
  </w:num>
  <w:num w:numId="9" w16cid:durableId="491606088">
    <w:abstractNumId w:val="5"/>
  </w:num>
  <w:num w:numId="10" w16cid:durableId="1384525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EB7"/>
    <w:rsid w:val="00000DD9"/>
    <w:rsid w:val="000245BC"/>
    <w:rsid w:val="000420DA"/>
    <w:rsid w:val="00066493"/>
    <w:rsid w:val="00095DB5"/>
    <w:rsid w:val="00164600"/>
    <w:rsid w:val="00184821"/>
    <w:rsid w:val="00191858"/>
    <w:rsid w:val="00211015"/>
    <w:rsid w:val="00226F53"/>
    <w:rsid w:val="00227D72"/>
    <w:rsid w:val="00270854"/>
    <w:rsid w:val="00277FD3"/>
    <w:rsid w:val="002C4131"/>
    <w:rsid w:val="002D5D95"/>
    <w:rsid w:val="002D6A1A"/>
    <w:rsid w:val="0031024B"/>
    <w:rsid w:val="00314B18"/>
    <w:rsid w:val="00333D33"/>
    <w:rsid w:val="003454E2"/>
    <w:rsid w:val="00356731"/>
    <w:rsid w:val="003A4B70"/>
    <w:rsid w:val="003B4212"/>
    <w:rsid w:val="004043B3"/>
    <w:rsid w:val="00421B02"/>
    <w:rsid w:val="00437BE7"/>
    <w:rsid w:val="00466C0E"/>
    <w:rsid w:val="004B0110"/>
    <w:rsid w:val="00547A97"/>
    <w:rsid w:val="005837BA"/>
    <w:rsid w:val="005A4C21"/>
    <w:rsid w:val="005B3036"/>
    <w:rsid w:val="005E240D"/>
    <w:rsid w:val="00616372"/>
    <w:rsid w:val="0062111C"/>
    <w:rsid w:val="006444E1"/>
    <w:rsid w:val="006A5C43"/>
    <w:rsid w:val="006D63FD"/>
    <w:rsid w:val="006E363F"/>
    <w:rsid w:val="006F5240"/>
    <w:rsid w:val="00773255"/>
    <w:rsid w:val="007802C6"/>
    <w:rsid w:val="00793E39"/>
    <w:rsid w:val="007A418D"/>
    <w:rsid w:val="007A52D1"/>
    <w:rsid w:val="007F4EB7"/>
    <w:rsid w:val="00820A90"/>
    <w:rsid w:val="008558FC"/>
    <w:rsid w:val="00860331"/>
    <w:rsid w:val="008B5101"/>
    <w:rsid w:val="009311CA"/>
    <w:rsid w:val="009441C8"/>
    <w:rsid w:val="0095510E"/>
    <w:rsid w:val="00990564"/>
    <w:rsid w:val="009F1C13"/>
    <w:rsid w:val="009F29AA"/>
    <w:rsid w:val="00A0625F"/>
    <w:rsid w:val="00A24FBA"/>
    <w:rsid w:val="00A40385"/>
    <w:rsid w:val="00A71406"/>
    <w:rsid w:val="00A843D5"/>
    <w:rsid w:val="00AD3B6A"/>
    <w:rsid w:val="00B131D2"/>
    <w:rsid w:val="00B511F6"/>
    <w:rsid w:val="00BA2E50"/>
    <w:rsid w:val="00C04251"/>
    <w:rsid w:val="00C34934"/>
    <w:rsid w:val="00C45686"/>
    <w:rsid w:val="00C53AC8"/>
    <w:rsid w:val="00C6562E"/>
    <w:rsid w:val="00CB4179"/>
    <w:rsid w:val="00CC64BA"/>
    <w:rsid w:val="00D27344"/>
    <w:rsid w:val="00D67570"/>
    <w:rsid w:val="00DA6708"/>
    <w:rsid w:val="00DE0C2C"/>
    <w:rsid w:val="00DE4098"/>
    <w:rsid w:val="00DF79E5"/>
    <w:rsid w:val="00E15DBF"/>
    <w:rsid w:val="00E51FE9"/>
    <w:rsid w:val="00E7314F"/>
    <w:rsid w:val="00E76A1F"/>
    <w:rsid w:val="00E9237B"/>
    <w:rsid w:val="00F314E7"/>
    <w:rsid w:val="00FA609E"/>
    <w:rsid w:val="00FA7F5C"/>
    <w:rsid w:val="00FB368D"/>
    <w:rsid w:val="00FD13A6"/>
    <w:rsid w:val="00FD34DA"/>
    <w:rsid w:val="00FD52BD"/>
    <w:rsid w:val="00FE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BF35C"/>
  <w15:chartTrackingRefBased/>
  <w15:docId w15:val="{34B36D41-E30D-4363-AD93-319F917A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C0E"/>
    <w:pPr>
      <w:spacing w:after="0" w:line="24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31"/>
    <w:pPr>
      <w:keepNext/>
      <w:keepLines/>
      <w:outlineLvl w:val="0"/>
    </w:pPr>
    <w:rPr>
      <w:rFonts w:eastAsiaTheme="majorEastAsia" w:cstheme="majorBidi"/>
      <w:b/>
      <w:color w:val="4F81BD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31"/>
    <w:pPr>
      <w:keepNext/>
      <w:keepLines/>
      <w:outlineLvl w:val="1"/>
    </w:pPr>
    <w:rPr>
      <w:rFonts w:eastAsiaTheme="majorEastAsia" w:cstheme="majorBidi"/>
      <w:b/>
      <w:color w:val="A2AD00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6731"/>
    <w:pPr>
      <w:keepNext/>
      <w:keepLines/>
      <w:outlineLvl w:val="2"/>
    </w:pPr>
    <w:rPr>
      <w:rFonts w:eastAsiaTheme="majorEastAsia" w:cstheme="majorBidi"/>
      <w:b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56731"/>
    <w:pPr>
      <w:keepNext/>
      <w:keepLines/>
      <w:outlineLvl w:val="3"/>
    </w:pPr>
    <w:rPr>
      <w:rFonts w:eastAsiaTheme="majorEastAsia" w:cstheme="majorBidi"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E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EB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EB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EB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EB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31"/>
    <w:rPr>
      <w:rFonts w:ascii="Arial" w:eastAsiaTheme="majorEastAsia" w:hAnsi="Arial" w:cstheme="majorBidi"/>
      <w:b/>
      <w:color w:val="4F81BD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56731"/>
    <w:rPr>
      <w:rFonts w:ascii="Arial" w:eastAsiaTheme="majorEastAsia" w:hAnsi="Arial" w:cstheme="majorBidi"/>
      <w:b/>
      <w:color w:val="A2AD0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56731"/>
    <w:rPr>
      <w:rFonts w:ascii="Arial" w:eastAsiaTheme="majorEastAsia" w:hAnsi="Arial" w:cstheme="majorBidi"/>
      <w:b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56731"/>
    <w:rPr>
      <w:rFonts w:ascii="Arial" w:eastAsiaTheme="majorEastAsia" w:hAnsi="Arial" w:cstheme="majorBidi"/>
      <w:i/>
      <w:iCs/>
      <w:color w:val="4F81BD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E4098"/>
    <w:pPr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098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098"/>
    <w:pPr>
      <w:numPr>
        <w:ilvl w:val="1"/>
      </w:numPr>
      <w:jc w:val="center"/>
    </w:pPr>
    <w:rPr>
      <w:rFonts w:eastAsiaTheme="majorEastAsia" w:cstheme="majorBidi"/>
      <w:i/>
      <w:spacing w:val="15"/>
      <w:sz w:val="36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098"/>
    <w:rPr>
      <w:rFonts w:ascii="Arial" w:eastAsiaTheme="majorEastAsia" w:hAnsi="Arial" w:cstheme="majorBidi"/>
      <w:i/>
      <w:spacing w:val="15"/>
      <w:sz w:val="36"/>
      <w:szCs w:val="28"/>
    </w:rPr>
  </w:style>
  <w:style w:type="paragraph" w:customStyle="1" w:styleId="Legal">
    <w:name w:val="Legal"/>
    <w:basedOn w:val="Normal"/>
    <w:link w:val="LegalChar"/>
    <w:rsid w:val="00D27344"/>
    <w:rPr>
      <w:rFonts w:ascii="Times New Roman" w:hAnsi="Times New Roman"/>
      <w:sz w:val="22"/>
    </w:rPr>
  </w:style>
  <w:style w:type="character" w:customStyle="1" w:styleId="LegalChar">
    <w:name w:val="Legal Char"/>
    <w:basedOn w:val="DefaultParagraphFont"/>
    <w:link w:val="Legal"/>
    <w:rsid w:val="00D27344"/>
    <w:rPr>
      <w:rFonts w:ascii="Times New Roman" w:hAnsi="Times New Roman"/>
      <w:sz w:val="22"/>
    </w:rPr>
  </w:style>
  <w:style w:type="paragraph" w:customStyle="1" w:styleId="Legal-Heading1">
    <w:name w:val="Legal - Heading 1"/>
    <w:basedOn w:val="Normal"/>
    <w:next w:val="Normal"/>
    <w:link w:val="Legal-Heading1Char"/>
    <w:rsid w:val="00D27344"/>
    <w:rPr>
      <w:rFonts w:ascii="Times New Roman" w:eastAsiaTheme="majorEastAsia" w:hAnsi="Times New Roman" w:cstheme="majorBidi"/>
      <w:color w:val="4F81BD"/>
      <w:sz w:val="22"/>
      <w:szCs w:val="40"/>
    </w:rPr>
  </w:style>
  <w:style w:type="character" w:customStyle="1" w:styleId="Legal-Heading1Char">
    <w:name w:val="Legal - Heading 1 Char"/>
    <w:basedOn w:val="Heading1Char"/>
    <w:link w:val="Legal-Heading1"/>
    <w:rsid w:val="00D27344"/>
    <w:rPr>
      <w:rFonts w:ascii="Times New Roman" w:eastAsiaTheme="majorEastAsia" w:hAnsi="Times New Roman" w:cstheme="majorBidi"/>
      <w:b w:val="0"/>
      <w:color w:val="4F81BD"/>
      <w:sz w:val="22"/>
      <w:szCs w:val="40"/>
    </w:rPr>
  </w:style>
  <w:style w:type="paragraph" w:customStyle="1" w:styleId="Legal-Tital">
    <w:name w:val="Legal - Tital"/>
    <w:basedOn w:val="Title"/>
    <w:next w:val="Normal"/>
    <w:link w:val="Legal-TitalChar"/>
    <w:rsid w:val="00D27344"/>
    <w:rPr>
      <w:rFonts w:ascii="Times New Roman" w:hAnsi="Times New Roman"/>
    </w:rPr>
  </w:style>
  <w:style w:type="character" w:customStyle="1" w:styleId="Legal-TitalChar">
    <w:name w:val="Legal - Tital Char"/>
    <w:basedOn w:val="TitleChar"/>
    <w:link w:val="Legal-Tital"/>
    <w:rsid w:val="00D27344"/>
    <w:rPr>
      <w:rFonts w:ascii="Times New Roman" w:eastAsiaTheme="majorEastAsia" w:hAnsi="Times New Roman" w:cstheme="majorBidi"/>
      <w:b/>
      <w:spacing w:val="-10"/>
      <w:kern w:val="28"/>
      <w:sz w:val="36"/>
      <w:szCs w:val="56"/>
    </w:rPr>
  </w:style>
  <w:style w:type="paragraph" w:customStyle="1" w:styleId="Legal-Subtitle">
    <w:name w:val="Legal - Subtitle"/>
    <w:basedOn w:val="Legal-Body"/>
    <w:next w:val="Legal-Body"/>
    <w:link w:val="Legal-SubtitleChar"/>
    <w:rsid w:val="00D27344"/>
    <w:pPr>
      <w:jc w:val="center"/>
    </w:pPr>
    <w:rPr>
      <w:rFonts w:eastAsiaTheme="majorEastAsia" w:cstheme="majorBidi"/>
      <w:b/>
      <w:spacing w:val="15"/>
      <w:szCs w:val="28"/>
    </w:rPr>
  </w:style>
  <w:style w:type="character" w:customStyle="1" w:styleId="Legal-SubtitleChar">
    <w:name w:val="Legal - Subtitle Char"/>
    <w:basedOn w:val="SubtitleChar"/>
    <w:link w:val="Legal-Subtitle"/>
    <w:rsid w:val="00D27344"/>
    <w:rPr>
      <w:rFonts w:ascii="Times New Roman" w:eastAsiaTheme="majorEastAsia" w:hAnsi="Times New Roman" w:cstheme="majorBidi"/>
      <w:b/>
      <w:i w:val="0"/>
      <w:spacing w:val="15"/>
      <w:kern w:val="0"/>
      <w:sz w:val="22"/>
      <w:szCs w:val="28"/>
      <w14:ligatures w14:val="none"/>
    </w:rPr>
  </w:style>
  <w:style w:type="paragraph" w:customStyle="1" w:styleId="Legal-Body">
    <w:name w:val="Legal - Body"/>
    <w:basedOn w:val="Normal"/>
    <w:link w:val="Legal-BodyChar"/>
    <w:qFormat/>
    <w:rsid w:val="00437BE7"/>
    <w:pPr>
      <w:jc w:val="both"/>
    </w:pPr>
    <w:rPr>
      <w:rFonts w:ascii="Times New Roman" w:hAnsi="Times New Roman"/>
      <w:kern w:val="0"/>
      <w:sz w:val="22"/>
      <w14:ligatures w14:val="none"/>
    </w:rPr>
  </w:style>
  <w:style w:type="character" w:customStyle="1" w:styleId="Legal-BodyChar">
    <w:name w:val="Legal - Body Char"/>
    <w:basedOn w:val="DefaultParagraphFont"/>
    <w:link w:val="Legal-Body"/>
    <w:rsid w:val="00437BE7"/>
    <w:rPr>
      <w:rFonts w:ascii="Times New Roman" w:hAnsi="Times New Roman"/>
      <w:kern w:val="0"/>
      <w:sz w:val="22"/>
      <w14:ligatures w14:val="none"/>
    </w:rPr>
  </w:style>
  <w:style w:type="paragraph" w:customStyle="1" w:styleId="Legal-Section">
    <w:name w:val="Legal - Section"/>
    <w:basedOn w:val="Heading1"/>
    <w:next w:val="Legal-Body"/>
    <w:link w:val="Legal-SectionChar"/>
    <w:rsid w:val="00D27344"/>
    <w:rPr>
      <w:rFonts w:ascii="Times New Roman" w:hAnsi="Times New Roman"/>
      <w:sz w:val="22"/>
      <w14:ligatures w14:val="none"/>
    </w:rPr>
  </w:style>
  <w:style w:type="character" w:customStyle="1" w:styleId="Legal-SectionChar">
    <w:name w:val="Legal - Section Char"/>
    <w:basedOn w:val="Heading1Char"/>
    <w:link w:val="Legal-Section"/>
    <w:rsid w:val="00D27344"/>
    <w:rPr>
      <w:rFonts w:ascii="Times New Roman" w:eastAsiaTheme="majorEastAsia" w:hAnsi="Times New Roman" w:cstheme="majorBidi"/>
      <w:b/>
      <w:color w:val="4F81BD"/>
      <w:sz w:val="22"/>
      <w:szCs w:val="40"/>
      <w14:ligatures w14:val="none"/>
    </w:rPr>
  </w:style>
  <w:style w:type="paragraph" w:customStyle="1" w:styleId="Legal-Title">
    <w:name w:val="Legal - Title"/>
    <w:basedOn w:val="Legal-Body"/>
    <w:next w:val="Legal-Body"/>
    <w:link w:val="Legal-TitleChar"/>
    <w:rsid w:val="00D27344"/>
    <w:pPr>
      <w:jc w:val="center"/>
    </w:pPr>
    <w:rPr>
      <w:rFonts w:eastAsiaTheme="majorEastAsia" w:cstheme="majorBidi"/>
      <w:b/>
      <w:spacing w:val="-10"/>
      <w:sz w:val="36"/>
      <w:szCs w:val="56"/>
    </w:rPr>
  </w:style>
  <w:style w:type="character" w:customStyle="1" w:styleId="Legal-TitleChar">
    <w:name w:val="Legal - Title Char"/>
    <w:basedOn w:val="TitleChar"/>
    <w:link w:val="Legal-Title"/>
    <w:rsid w:val="00D27344"/>
    <w:rPr>
      <w:rFonts w:ascii="Times New Roman" w:eastAsiaTheme="majorEastAsia" w:hAnsi="Times New Roman" w:cstheme="majorBidi"/>
      <w:b/>
      <w:spacing w:val="-10"/>
      <w:kern w:val="0"/>
      <w:sz w:val="36"/>
      <w:szCs w:val="56"/>
      <w14:ligatures w14:val="none"/>
    </w:rPr>
  </w:style>
  <w:style w:type="paragraph" w:customStyle="1" w:styleId="Legal-Subsection">
    <w:name w:val="Legal - Subsection"/>
    <w:basedOn w:val="Heading2"/>
    <w:next w:val="Legal-Body"/>
    <w:link w:val="Legal-SubsectionChar"/>
    <w:rsid w:val="00D27344"/>
    <w:rPr>
      <w:rFonts w:ascii="Times New Roman" w:hAnsi="Times New Roman"/>
      <w:b w:val="0"/>
      <w:kern w:val="0"/>
      <w:sz w:val="22"/>
      <w:u w:val="single"/>
      <w14:ligatures w14:val="none"/>
    </w:rPr>
  </w:style>
  <w:style w:type="character" w:customStyle="1" w:styleId="Legal-SubsectionChar">
    <w:name w:val="Legal - Subsection Char"/>
    <w:basedOn w:val="Heading2Char"/>
    <w:link w:val="Legal-Subsection"/>
    <w:rsid w:val="00D27344"/>
    <w:rPr>
      <w:rFonts w:ascii="Times New Roman" w:eastAsiaTheme="majorEastAsia" w:hAnsi="Times New Roman" w:cstheme="majorBidi"/>
      <w:b w:val="0"/>
      <w:color w:val="A2AD00"/>
      <w:kern w:val="0"/>
      <w:sz w:val="22"/>
      <w:szCs w:val="32"/>
      <w:u w:val="single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EB7"/>
    <w:rPr>
      <w:rFonts w:eastAsiaTheme="majorEastAsia" w:cstheme="majorBidi"/>
      <w:color w:val="0F4761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EB7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EB7"/>
    <w:rPr>
      <w:rFonts w:eastAsiaTheme="majorEastAsia" w:cstheme="majorBidi"/>
      <w:color w:val="595959" w:themeColor="text1" w:themeTint="A6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EB7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EB7"/>
    <w:rPr>
      <w:rFonts w:eastAsiaTheme="majorEastAsia" w:cstheme="majorBidi"/>
      <w:color w:val="272727" w:themeColor="text1" w:themeTint="D8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7F4E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EB7"/>
    <w:rPr>
      <w:rFonts w:ascii="Arial" w:hAnsi="Arial"/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uiPriority w:val="34"/>
    <w:qFormat/>
    <w:rsid w:val="007F4E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E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EB7"/>
    <w:rPr>
      <w:rFonts w:ascii="Arial" w:hAnsi="Arial"/>
      <w:i/>
      <w:iCs/>
      <w:color w:val="0F4761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qFormat/>
    <w:rsid w:val="007F4EB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4E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4EB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4E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EB7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7F4E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EB7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675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757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7570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5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570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hcda.IN.gov/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2FE69-3144-44CF-911D-7C76293EA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Pearson, Joshua</dc:creator>
  <cp:keywords/>
  <dc:description/>
  <cp:lastModifiedBy>Pearson, Joshua</cp:lastModifiedBy>
  <cp:revision>41</cp:revision>
  <dcterms:created xsi:type="dcterms:W3CDTF">2025-10-21T13:45:00Z</dcterms:created>
  <dcterms:modified xsi:type="dcterms:W3CDTF">2026-10-26T14:25:00Z</dcterms:modified>
</cp:coreProperties>
</file>